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33DBA" w:rsidRPr="00175664" w:rsidRDefault="005F6AFC" w:rsidP="0052795B">
      <w:pPr>
        <w:pStyle w:val="HTMLPreformatted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(See </w:t>
      </w:r>
      <w:r w:rsidR="00094836">
        <w:rPr>
          <w:rFonts w:ascii="Times New Roman" w:hAnsi="Times New Roman" w:cs="Times New Roman"/>
          <w:sz w:val="24"/>
          <w:szCs w:val="24"/>
        </w:rPr>
        <w:t>instructions starting on template page two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C47482">
        <w:rPr>
          <w:rFonts w:ascii="Times New Roman" w:hAnsi="Times New Roman" w:cs="Times New Roman"/>
          <w:sz w:val="24"/>
          <w:szCs w:val="24"/>
        </w:rPr>
        <w:t>(for administrative use)</w:t>
      </w:r>
    </w:p>
    <w:p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1F3655" w:rsidRPr="001F3655">
        <w:rPr>
          <w:rFonts w:ascii="Times New Roman" w:hAnsi="Times New Roman" w:cs="Times New Roman"/>
          <w:sz w:val="24"/>
          <w:szCs w:val="24"/>
        </w:rPr>
        <w:t>Clarification for Redriver Flow</w:t>
      </w:r>
    </w:p>
    <w:p w:rsidR="00F33DBA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1F3655" w:rsidRPr="001F3655">
        <w:rPr>
          <w:rFonts w:ascii="Times New Roman" w:hAnsi="Times New Roman" w:cs="Times New Roman"/>
          <w:sz w:val="24"/>
          <w:szCs w:val="24"/>
        </w:rPr>
        <w:t>Ambrish Varma, Cadence Design Systems, Inc.</w:t>
      </w:r>
    </w:p>
    <w:p w:rsidR="00131AAB" w:rsidRPr="00175664" w:rsidRDefault="00131AAB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C47482">
        <w:rPr>
          <w:rFonts w:ascii="Times New Roman" w:hAnsi="Times New Roman" w:cs="Times New Roman"/>
          <w:sz w:val="24"/>
          <w:szCs w:val="24"/>
        </w:rPr>
        <w:t>(for administrative use)</w:t>
      </w:r>
    </w:p>
    <w:p w:rsidR="00FF1F59" w:rsidRPr="0002689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C47482">
        <w:rPr>
          <w:rFonts w:ascii="Times New Roman" w:hAnsi="Times New Roman" w:cs="Times New Roman"/>
          <w:sz w:val="24"/>
          <w:szCs w:val="24"/>
        </w:rPr>
        <w:t>(for administrative use)</w:t>
      </w:r>
    </w:p>
    <w:p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  <w:r w:rsidR="00C47482">
        <w:rPr>
          <w:rFonts w:ascii="Times New Roman" w:hAnsi="Times New Roman" w:cs="Times New Roman"/>
          <w:sz w:val="24"/>
          <w:szCs w:val="24"/>
        </w:rPr>
        <w:t>(for administrative use)</w:t>
      </w:r>
    </w:p>
    <w:p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1F3655" w:rsidRPr="001F3655" w:rsidRDefault="001F3655" w:rsidP="001F3655">
      <w:pPr>
        <w:pStyle w:val="HTMLPreformatted"/>
        <w:pBdr>
          <w:bottom w:val="single" w:sz="12" w:space="1" w:color="auto"/>
        </w:pBdr>
        <w:spacing w:before="0"/>
        <w:rPr>
          <w:rFonts w:ascii="Times New Roman" w:eastAsia="SimSun" w:hAnsi="Times New Roman" w:cs="Times New Roman"/>
          <w:sz w:val="24"/>
          <w:szCs w:val="24"/>
        </w:rPr>
      </w:pPr>
      <w:r w:rsidRPr="001F3655">
        <w:rPr>
          <w:rFonts w:ascii="Times New Roman" w:eastAsia="SimSun" w:hAnsi="Times New Roman" w:cs="Times New Roman"/>
          <w:sz w:val="24"/>
          <w:szCs w:val="24"/>
        </w:rPr>
        <w:t xml:space="preserve">As currently written, the reference flow for a Redriver is not clear that the downstream Rx equalization in the AMI_Init function should not expect the overall equalized impulse response prior to the downstream Rx.  </w:t>
      </w:r>
    </w:p>
    <w:p w:rsidR="001F3655" w:rsidRPr="001F3655" w:rsidRDefault="001F3655" w:rsidP="001F3655">
      <w:pPr>
        <w:pStyle w:val="HTMLPreformatted"/>
        <w:pBdr>
          <w:bottom w:val="single" w:sz="12" w:space="1" w:color="auto"/>
        </w:pBdr>
        <w:spacing w:before="0"/>
        <w:rPr>
          <w:rFonts w:ascii="Times New Roman" w:eastAsia="SimSun" w:hAnsi="Times New Roman" w:cs="Times New Roman"/>
          <w:sz w:val="24"/>
          <w:szCs w:val="24"/>
        </w:rPr>
      </w:pPr>
    </w:p>
    <w:p w:rsidR="00DF6B40" w:rsidRPr="00175664" w:rsidRDefault="001F3655" w:rsidP="001F365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1F3655">
        <w:rPr>
          <w:rFonts w:ascii="Times New Roman" w:eastAsia="SimSun" w:hAnsi="Times New Roman" w:cs="Times New Roman"/>
          <w:sz w:val="24"/>
          <w:szCs w:val="24"/>
        </w:rPr>
        <w:t>This BIRD proposes to add a similar note that is currently present in the time domain simulation reference flow on page 178 that makes this clear to the model maker.</w:t>
      </w:r>
    </w:p>
    <w:p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EA7086" w:rsidRPr="00945793" w:rsidRDefault="00EA7086" w:rsidP="00090538">
      <w:r>
        <w:t>The IBIS specification must meet these requirements:</w:t>
      </w:r>
    </w:p>
    <w:p w:rsidR="00EA7086" w:rsidRDefault="00EA7086" w:rsidP="00EA7086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8"/>
        <w:gridCol w:w="4928"/>
      </w:tblGrid>
      <w:tr w:rsidR="00EA7086" w:rsidRPr="007F4749" w:rsidTr="003E3B71">
        <w:tc>
          <w:tcPr>
            <w:tcW w:w="2487" w:type="pct"/>
          </w:tcPr>
          <w:p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:rsidTr="003E3B71">
        <w:tc>
          <w:tcPr>
            <w:tcW w:w="2487" w:type="pct"/>
          </w:tcPr>
          <w:p w:rsidR="00EA7086" w:rsidRPr="007F4749" w:rsidRDefault="001F3655" w:rsidP="001F3655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 section in </w:t>
            </w:r>
            <w:r w:rsidRPr="001F36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page 243 between Step 6 and Step 7. </w:t>
            </w:r>
          </w:p>
        </w:tc>
        <w:tc>
          <w:tcPr>
            <w:tcW w:w="2513" w:type="pct"/>
          </w:tcPr>
          <w:p w:rsidR="00EA7086" w:rsidRPr="007F4749" w:rsidRDefault="001F3655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Entire page 243 text is copied in this BIRD with the added section in </w:t>
            </w:r>
            <w:r w:rsidRPr="001F365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current text in the spec in black.</w:t>
            </w:r>
          </w:p>
        </w:tc>
      </w:tr>
    </w:tbl>
    <w:p w:rsidR="00EA7086" w:rsidRPr="00DF6B40" w:rsidRDefault="00984C11" w:rsidP="00090538">
      <w:r>
        <w:t>(</w:t>
      </w:r>
      <w:r w:rsidR="00861476">
        <w:t>Enumerate each requirement in</w:t>
      </w:r>
      <w:r>
        <w:t xml:space="preserve"> the table above, adding rows as needed</w:t>
      </w:r>
      <w:r w:rsidR="00090538">
        <w:t>.</w:t>
      </w:r>
      <w:r>
        <w:t>)</w:t>
      </w:r>
    </w:p>
    <w:p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1B23D0" w:rsidRPr="00CF1827" w:rsidRDefault="00CF1827" w:rsidP="00CF1827">
      <w:r w:rsidRPr="00CF1827">
        <w:t xml:space="preserve">For review purposes, </w:t>
      </w:r>
      <w:r>
        <w:t xml:space="preserve">the </w:t>
      </w:r>
      <w:r w:rsidRPr="00CF1827">
        <w:t>proposed changes are summarized as follows:</w:t>
      </w:r>
    </w:p>
    <w:p w:rsidR="00094836" w:rsidRDefault="00094836" w:rsidP="00094836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>: IBIS Keywords</w:t>
      </w:r>
      <w:r w:rsidR="00F95A55">
        <w:t xml:space="preserve">, Subparameters, </w:t>
      </w:r>
      <w:r>
        <w:t xml:space="preserve"> AMI Reserved_Parameters</w:t>
      </w:r>
      <w:r w:rsidR="00F95A55">
        <w:t xml:space="preserve">, and AMI functions </w:t>
      </w:r>
      <w:r>
        <w:t xml:space="preserve"> Affected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14"/>
        <w:gridCol w:w="2349"/>
        <w:gridCol w:w="4543"/>
      </w:tblGrid>
      <w:tr w:rsidR="00861476" w:rsidRPr="007F4749" w:rsidTr="00861476">
        <w:tc>
          <w:tcPr>
            <w:tcW w:w="1636" w:type="pct"/>
          </w:tcPr>
          <w:p w:rsidR="00861476" w:rsidRPr="007F4749" w:rsidRDefault="00F95A55" w:rsidP="00861476">
            <w:pPr>
              <w:pStyle w:val="TableCaption"/>
              <w:spacing w:before="60" w:after="60"/>
            </w:pPr>
            <w:r>
              <w:t>Specification Item</w:t>
            </w:r>
          </w:p>
        </w:tc>
        <w:tc>
          <w:tcPr>
            <w:tcW w:w="897" w:type="pct"/>
          </w:tcPr>
          <w:p w:rsidR="00861476" w:rsidRPr="007F4749" w:rsidRDefault="00861476" w:rsidP="00861476">
            <w:pPr>
              <w:pStyle w:val="TableCaption"/>
              <w:spacing w:before="60" w:after="60"/>
            </w:pPr>
            <w:r>
              <w:t>New/Modified</w:t>
            </w:r>
            <w:r w:rsidR="0009560E">
              <w:t>/Other</w:t>
            </w:r>
          </w:p>
        </w:tc>
        <w:tc>
          <w:tcPr>
            <w:tcW w:w="2467" w:type="pct"/>
          </w:tcPr>
          <w:p w:rsidR="00861476" w:rsidRDefault="0086147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861476" w:rsidRPr="007F4749" w:rsidTr="00861476">
        <w:tc>
          <w:tcPr>
            <w:tcW w:w="1636" w:type="pct"/>
          </w:tcPr>
          <w:p w:rsidR="00861476" w:rsidRPr="007F4749" w:rsidRDefault="008C362F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62F">
              <w:rPr>
                <w:rFonts w:ascii="Times New Roman" w:hAnsi="Times New Roman" w:cs="Times New Roman"/>
                <w:sz w:val="24"/>
                <w:szCs w:val="24"/>
              </w:rPr>
              <w:t>The time domain simulation flow for a Repeater link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page 243</w:t>
            </w:r>
          </w:p>
        </w:tc>
        <w:tc>
          <w:tcPr>
            <w:tcW w:w="897" w:type="pct"/>
          </w:tcPr>
          <w:p w:rsidR="00861476" w:rsidRPr="007F4749" w:rsidRDefault="008C362F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Clarification added</w:t>
            </w:r>
          </w:p>
        </w:tc>
        <w:tc>
          <w:tcPr>
            <w:tcW w:w="2467" w:type="pct"/>
          </w:tcPr>
          <w:p w:rsidR="00861476" w:rsidRPr="007F4749" w:rsidRDefault="0086147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836" w:rsidRPr="00DF6B40" w:rsidRDefault="00094836" w:rsidP="00090538">
      <w:r>
        <w:t>(</w:t>
      </w:r>
      <w:r w:rsidR="00861476">
        <w:t xml:space="preserve">List each affected </w:t>
      </w:r>
      <w:r w:rsidR="00F95A55">
        <w:t>specification item in</w:t>
      </w:r>
      <w:r>
        <w:t xml:space="preserve"> the table above, adding rows as needed</w:t>
      </w:r>
      <w:r w:rsidR="00090538">
        <w:t>.</w:t>
      </w:r>
      <w:r>
        <w:t>)</w:t>
      </w:r>
    </w:p>
    <w:p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CF1827" w:rsidRPr="005F6AFC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8C362F" w:rsidRPr="00DF3FBD" w:rsidRDefault="008C362F" w:rsidP="008C362F">
      <w:pPr>
        <w:rPr>
          <w:i/>
        </w:rPr>
      </w:pPr>
      <w:r w:rsidRPr="00DF3FBD">
        <w:rPr>
          <w:i/>
        </w:rPr>
        <w:t>(Include the section in Red to page 243 between Step 6 and Step 7. The text in black is the text in the latest version of IBIS specification.)</w:t>
      </w:r>
    </w:p>
    <w:p w:rsidR="00DF3FBD" w:rsidRDefault="00DF3FBD" w:rsidP="00DF3FBD">
      <w:pPr>
        <w:spacing w:after="80"/>
      </w:pPr>
      <w:r>
        <w:t xml:space="preserve">Here Tx1 denotes the Repeater upstream channel (channel 1) Tx AMI model (including analog and </w:t>
      </w:r>
    </w:p>
    <w:p w:rsidR="00DF3FBD" w:rsidRDefault="00DF3FBD" w:rsidP="00DF3FBD">
      <w:pPr>
        <w:spacing w:after="80"/>
      </w:pPr>
      <w:r>
        <w:t xml:space="preserve">algorithmic models), Rx1 the Repeater Rx AMI model (including analog and algorithmic models), </w:t>
      </w:r>
    </w:p>
    <w:p w:rsidR="00DF3FBD" w:rsidRDefault="00DF3FBD" w:rsidP="00DF3FBD">
      <w:pPr>
        <w:spacing w:after="80"/>
      </w:pPr>
      <w:r>
        <w:t xml:space="preserve">Tx2 the Repeater Tx AMI model (including analog and algorithmic models) and Rx2 the Repeater </w:t>
      </w:r>
    </w:p>
    <w:p w:rsidR="00DF3FBD" w:rsidRDefault="00DF3FBD" w:rsidP="00DF3FBD">
      <w:pPr>
        <w:spacing w:after="80"/>
      </w:pPr>
      <w:r>
        <w:t xml:space="preserve">downstream channel (channel 2) Rx AMI model (including analog and algorithmic models). </w:t>
      </w:r>
    </w:p>
    <w:p w:rsidR="00DF3FBD" w:rsidRDefault="00DF3FBD" w:rsidP="00DF3FBD">
      <w:pPr>
        <w:spacing w:after="80"/>
      </w:pPr>
      <w:r>
        <w:t xml:space="preserve">Step 1. The EDA tool obtains the impulse response of the upstream analog channel, which </w:t>
      </w:r>
    </w:p>
    <w:p w:rsidR="00DF3FBD" w:rsidRDefault="00DF3FBD" w:rsidP="00DF3FBD">
      <w:pPr>
        <w:spacing w:after="80"/>
      </w:pPr>
      <w:r>
        <w:t xml:space="preserve">represents the combined impulse response of Tx1’s analog model, physical channel 1, and Rx1’s </w:t>
      </w:r>
    </w:p>
    <w:p w:rsidR="00DF3FBD" w:rsidRDefault="00DF3FBD" w:rsidP="00DF3FBD">
      <w:pPr>
        <w:spacing w:after="80"/>
      </w:pPr>
      <w:r>
        <w:t xml:space="preserve">analog model. </w:t>
      </w:r>
    </w:p>
    <w:p w:rsidR="00DF3FBD" w:rsidRDefault="00DF3FBD" w:rsidP="00DF3FBD">
      <w:pPr>
        <w:spacing w:after="80"/>
      </w:pPr>
      <w:r>
        <w:t xml:space="preserve">Step 2. The output of step 1 is presented to Tx1’s AMI_Init function and Tx1’s AMI_Init function </w:t>
      </w:r>
    </w:p>
    <w:p w:rsidR="00DF3FBD" w:rsidRDefault="00DF3FBD" w:rsidP="00DF3FBD">
      <w:pPr>
        <w:spacing w:after="80"/>
      </w:pPr>
      <w:r>
        <w:t xml:space="preserve">is executed. </w:t>
      </w:r>
    </w:p>
    <w:p w:rsidR="00DF3FBD" w:rsidRDefault="00DF3FBD" w:rsidP="00DF3FBD">
      <w:pPr>
        <w:spacing w:after="80"/>
      </w:pPr>
      <w:r>
        <w:t xml:space="preserve">Step 3. The output of step 2 is presented to Rx1’s AMI_Init function and Rx1’s AMI_Init function </w:t>
      </w:r>
    </w:p>
    <w:p w:rsidR="00DF3FBD" w:rsidRDefault="00DF3FBD" w:rsidP="00DF3FBD">
      <w:pPr>
        <w:spacing w:after="80"/>
      </w:pPr>
      <w:r>
        <w:t xml:space="preserve">is executed. </w:t>
      </w:r>
    </w:p>
    <w:p w:rsidR="00DF3FBD" w:rsidRDefault="00DF3FBD" w:rsidP="00DF3FBD">
      <w:pPr>
        <w:spacing w:after="80"/>
      </w:pPr>
      <w:r>
        <w:t xml:space="preserve">Step 4. The EDA tool obtains the impulse response of the downstream analog channel, which </w:t>
      </w:r>
    </w:p>
    <w:p w:rsidR="00DF3FBD" w:rsidRDefault="00DF3FBD" w:rsidP="00DF3FBD">
      <w:pPr>
        <w:spacing w:after="80"/>
      </w:pPr>
      <w:r>
        <w:t xml:space="preserve">represents the combined impulse response of Tx2’s analog model, physical channel 2, and Rx2’s </w:t>
      </w:r>
    </w:p>
    <w:p w:rsidR="00DF3FBD" w:rsidRDefault="00DF3FBD" w:rsidP="00DF3FBD">
      <w:pPr>
        <w:spacing w:after="80"/>
      </w:pPr>
      <w:r>
        <w:t xml:space="preserve">analog model. </w:t>
      </w:r>
    </w:p>
    <w:p w:rsidR="00DF3FBD" w:rsidRDefault="00DF3FBD" w:rsidP="00DF3FBD">
      <w:pPr>
        <w:spacing w:after="80"/>
      </w:pPr>
      <w:r>
        <w:t xml:space="preserve">Step 5. The output of step 4 is presented to Tx2’s AMI_Init function and Tx2’s AMI_Init function </w:t>
      </w:r>
    </w:p>
    <w:p w:rsidR="00DF3FBD" w:rsidRDefault="00DF3FBD" w:rsidP="00DF3FBD">
      <w:pPr>
        <w:spacing w:after="80"/>
      </w:pPr>
      <w:r>
        <w:t xml:space="preserve">is executed. </w:t>
      </w:r>
    </w:p>
    <w:p w:rsidR="00DF3FBD" w:rsidRDefault="00DF3FBD" w:rsidP="00DF3FBD">
      <w:pPr>
        <w:spacing w:after="80"/>
      </w:pPr>
      <w:r>
        <w:t xml:space="preserve">Step 6. The output of step 5 is presented to Rx2’s AMI_Init function and Rx2’s AMI_Init function </w:t>
      </w:r>
    </w:p>
    <w:p w:rsidR="00DF3FBD" w:rsidRDefault="00DF3FBD" w:rsidP="00DF3FBD">
      <w:pPr>
        <w:spacing w:after="80"/>
      </w:pPr>
      <w:r>
        <w:t xml:space="preserve">is executed. </w:t>
      </w:r>
    </w:p>
    <w:p w:rsidR="00DF3FBD" w:rsidRDefault="00DF3FBD" w:rsidP="00DF3FBD">
      <w:pPr>
        <w:spacing w:after="80"/>
      </w:pPr>
    </w:p>
    <w:p w:rsidR="00DF3FBD" w:rsidRDefault="00DF3FBD" w:rsidP="00DF3FBD">
      <w:pPr>
        <w:spacing w:after="80"/>
        <w:rPr>
          <w:color w:val="FF0000"/>
        </w:rPr>
      </w:pPr>
      <w:r w:rsidRPr="0068509A">
        <w:rPr>
          <w:color w:val="FF0000"/>
        </w:rPr>
        <w:t>Note: The Rx</w:t>
      </w:r>
      <w:r>
        <w:rPr>
          <w:color w:val="FF0000"/>
        </w:rPr>
        <w:t>2</w:t>
      </w:r>
      <w:r w:rsidRPr="0068509A">
        <w:rPr>
          <w:color w:val="FF0000"/>
        </w:rPr>
        <w:t xml:space="preserve"> executable model file writer </w:t>
      </w:r>
      <w:r>
        <w:rPr>
          <w:color w:val="FF0000"/>
        </w:rPr>
        <w:t xml:space="preserve">for the downstream channels with Redrivers </w:t>
      </w:r>
      <w:r w:rsidRPr="0068509A">
        <w:rPr>
          <w:color w:val="FF0000"/>
        </w:rPr>
        <w:t xml:space="preserve">should keep in mind that the impulse response that is presented to the Rx AMI_Init function </w:t>
      </w:r>
      <w:r>
        <w:rPr>
          <w:color w:val="FF0000"/>
        </w:rPr>
        <w:t>does not</w:t>
      </w:r>
      <w:r w:rsidRPr="0068509A">
        <w:rPr>
          <w:color w:val="FF0000"/>
        </w:rPr>
        <w:t xml:space="preserve"> </w:t>
      </w:r>
      <w:r w:rsidRPr="0068509A">
        <w:rPr>
          <w:color w:val="FF0000"/>
        </w:rPr>
        <w:t xml:space="preserve">include the effects of the </w:t>
      </w:r>
      <w:r>
        <w:rPr>
          <w:color w:val="FF0000"/>
        </w:rPr>
        <w:t>upstream equalization</w:t>
      </w:r>
      <w:r w:rsidRPr="0068509A">
        <w:rPr>
          <w:color w:val="FF0000"/>
        </w:rPr>
        <w:t xml:space="preserve">.  </w:t>
      </w:r>
      <w:r w:rsidRPr="0068509A">
        <w:rPr>
          <w:color w:val="FF0000"/>
        </w:rPr>
        <w:t>Therefore,</w:t>
      </w:r>
      <w:r w:rsidRPr="0068509A">
        <w:rPr>
          <w:color w:val="FF0000"/>
        </w:rPr>
        <w:t xml:space="preserve"> the Rx AMI_Init function </w:t>
      </w:r>
      <w:r>
        <w:rPr>
          <w:color w:val="FF0000"/>
        </w:rPr>
        <w:t>will</w:t>
      </w:r>
      <w:r w:rsidRPr="0068509A">
        <w:rPr>
          <w:color w:val="FF0000"/>
        </w:rPr>
        <w:t xml:space="preserve"> </w:t>
      </w:r>
      <w:r w:rsidRPr="0068509A">
        <w:rPr>
          <w:color w:val="FF0000"/>
        </w:rPr>
        <w:t>not be able to perform accurate optimization</w:t>
      </w:r>
      <w:r>
        <w:rPr>
          <w:color w:val="FF0000"/>
        </w:rPr>
        <w:t xml:space="preserve"> in the absence of the upstream channel characteristics and/or equalization effects</w:t>
      </w:r>
      <w:r w:rsidRPr="0068509A">
        <w:rPr>
          <w:color w:val="FF0000"/>
        </w:rPr>
        <w:t>.  For this reason, the parameters of the Rx AMI_Init function should always default to valid values or have a mechanism to accept user-defined coefficients and allow the user to turn off any automatic optimization routines to ensure successful simulations.</w:t>
      </w:r>
    </w:p>
    <w:p w:rsidR="00DF3FBD" w:rsidRPr="0068509A" w:rsidRDefault="00DF3FBD" w:rsidP="00DF3FBD">
      <w:pPr>
        <w:spacing w:after="80"/>
        <w:rPr>
          <w:color w:val="FF0000"/>
        </w:rPr>
      </w:pPr>
    </w:p>
    <w:p w:rsidR="00DF3FBD" w:rsidRDefault="00DF3FBD" w:rsidP="00DF3FBD">
      <w:pPr>
        <w:spacing w:after="80"/>
      </w:pPr>
      <w:r>
        <w:t xml:space="preserve">Step 7. The EDA tool performs simulation on the upstream channel, which consists of Tx1, </w:t>
      </w:r>
    </w:p>
    <w:p w:rsidR="00DF3FBD" w:rsidRDefault="00DF3FBD" w:rsidP="00DF3FBD">
      <w:pPr>
        <w:spacing w:after="80"/>
      </w:pPr>
      <w:r>
        <w:t xml:space="preserve">physical channel 1, and Rx1, according to the AMI flow defined in the specification for channels </w:t>
      </w:r>
    </w:p>
    <w:p w:rsidR="00DF3FBD" w:rsidRDefault="00DF3FBD" w:rsidP="00DF3FBD">
      <w:pPr>
        <w:spacing w:after="80"/>
      </w:pPr>
      <w:r>
        <w:t xml:space="preserve">without Repeaters. </w:t>
      </w:r>
    </w:p>
    <w:p w:rsidR="00DF3FBD" w:rsidRDefault="00DF3FBD" w:rsidP="00DF3FBD">
      <w:pPr>
        <w:spacing w:after="80"/>
      </w:pPr>
      <w:r>
        <w:t xml:space="preserve">Step 8a. Redriver: The EDA tool uses the signal waveform at the output end of Rx1’s algorithmic </w:t>
      </w:r>
    </w:p>
    <w:p w:rsidR="00DF3FBD" w:rsidRDefault="00DF3FBD" w:rsidP="00DF3FBD">
      <w:pPr>
        <w:spacing w:after="80"/>
      </w:pPr>
      <w:r>
        <w:lastRenderedPageBreak/>
        <w:t xml:space="preserve">model in step 7, regardless whether Rx1’s AMI_GetWave exists or not, as the stimulus of Tx2’s </w:t>
      </w:r>
    </w:p>
    <w:p w:rsidR="00DF3FBD" w:rsidRDefault="00DF3FBD" w:rsidP="00DF3FBD">
      <w:pPr>
        <w:spacing w:after="80"/>
      </w:pPr>
      <w:r>
        <w:t xml:space="preserve">algorithmic model, regardless whether Tx2’s AMI_GetWave exists or not, and performs simulation </w:t>
      </w:r>
    </w:p>
    <w:p w:rsidR="00DF3FBD" w:rsidRDefault="00DF3FBD" w:rsidP="00DF3FBD">
      <w:pPr>
        <w:spacing w:after="80"/>
      </w:pPr>
      <w:r>
        <w:t xml:space="preserve">on the downstream channel, which consists of Tx2, physical channel 2 and Rx2, according to the </w:t>
      </w:r>
    </w:p>
    <w:p w:rsidR="008C362F" w:rsidRDefault="00DF3FBD" w:rsidP="00DF3FBD">
      <w:r>
        <w:t>AMI flow defined in the spec for channels without Redrivers.</w:t>
      </w:r>
    </w:p>
    <w:p w:rsidR="001B23D0" w:rsidRPr="00175664" w:rsidRDefault="001B23D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8C362F" w:rsidRPr="00175664" w:rsidRDefault="008C362F" w:rsidP="008C362F">
      <w:r>
        <w:t>There was confusion in the IBI-AMI user base about how to treat AMI models which optimize in the Rx AMI_Init. The clarification in this BIRD adds text to the specification mentioning to the model writer that they should not expect the entire downstream characterization/equalization when using the AMI_Init.</w:t>
      </w:r>
    </w:p>
    <w:p w:rsidR="001B23D0" w:rsidRPr="00175664" w:rsidRDefault="001B23D0" w:rsidP="001B23D0">
      <w:bookmarkStart w:id="3" w:name="_GoBack"/>
      <w:bookmarkEnd w:id="0"/>
      <w:bookmarkEnd w:id="1"/>
      <w:bookmarkEnd w:id="2"/>
      <w:bookmarkEnd w:id="3"/>
    </w:p>
    <w:sectPr w:rsidR="001B23D0" w:rsidRPr="00175664" w:rsidSect="00C577C8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6E" w:rsidRDefault="005A3F6E">
      <w:r>
        <w:separator/>
      </w:r>
    </w:p>
  </w:endnote>
  <w:endnote w:type="continuationSeparator" w:id="0">
    <w:p w:rsidR="005A3F6E" w:rsidRDefault="005A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0F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5F6AFC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0F" w:rsidRPr="000C746A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DF3FBD">
      <w:rPr>
        <w:rStyle w:val="PageNumber"/>
        <w:noProof/>
        <w:szCs w:val="20"/>
      </w:rPr>
      <w:t>2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6E" w:rsidRDefault="005A3F6E">
      <w:r>
        <w:separator/>
      </w:r>
    </w:p>
  </w:footnote>
  <w:footnote w:type="continuationSeparator" w:id="0">
    <w:p w:rsidR="005A3F6E" w:rsidRDefault="005A3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0F" w:rsidRDefault="00232C45">
    <w:pPr>
      <w:pStyle w:val="Header"/>
    </w:pPr>
    <w:r>
      <w:t>BIRD</w:t>
    </w:r>
    <w:r w:rsidR="00041D9F">
      <w:t xml:space="preserve"> Template, Rev. </w:t>
    </w:r>
    <w:r w:rsidR="00C20660">
      <w:t>1</w:t>
    </w:r>
    <w:r w:rsidR="007A67D3">
      <w:t>.</w:t>
    </w: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81A" w:rsidRDefault="0031681A" w:rsidP="0031681A">
    <w:pPr>
      <w:pStyle w:val="Header"/>
      <w:jc w:val="right"/>
    </w:pPr>
    <w:r>
      <w:t>IBIS Specification Change Template, Rev. 1.3</w:t>
    </w:r>
  </w:p>
  <w:p w:rsidR="0026670F" w:rsidRPr="0031681A" w:rsidRDefault="0026670F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0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39"/>
  </w:num>
  <w:num w:numId="13">
    <w:abstractNumId w:val="13"/>
  </w:num>
  <w:num w:numId="14">
    <w:abstractNumId w:val="53"/>
  </w:num>
  <w:num w:numId="15">
    <w:abstractNumId w:val="8"/>
  </w:num>
  <w:num w:numId="16">
    <w:abstractNumId w:val="11"/>
  </w:num>
  <w:num w:numId="17">
    <w:abstractNumId w:val="52"/>
  </w:num>
  <w:num w:numId="18">
    <w:abstractNumId w:val="38"/>
  </w:num>
  <w:num w:numId="19">
    <w:abstractNumId w:val="22"/>
  </w:num>
  <w:num w:numId="20">
    <w:abstractNumId w:val="30"/>
  </w:num>
  <w:num w:numId="21">
    <w:abstractNumId w:val="42"/>
  </w:num>
  <w:num w:numId="22">
    <w:abstractNumId w:val="30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30"/>
    <w:lvlOverride w:ilvl="0">
      <w:startOverride w:val="7"/>
    </w:lvlOverride>
  </w:num>
  <w:num w:numId="25">
    <w:abstractNumId w:val="30"/>
    <w:lvlOverride w:ilvl="0">
      <w:startOverride w:val="7"/>
    </w:lvlOverride>
  </w:num>
  <w:num w:numId="26">
    <w:abstractNumId w:val="50"/>
  </w:num>
  <w:num w:numId="27">
    <w:abstractNumId w:val="33"/>
  </w:num>
  <w:num w:numId="28">
    <w:abstractNumId w:val="33"/>
    <w:lvlOverride w:ilvl="0">
      <w:startOverride w:val="1"/>
    </w:lvlOverride>
  </w:num>
  <w:num w:numId="29">
    <w:abstractNumId w:val="33"/>
    <w:lvlOverride w:ilvl="0">
      <w:startOverride w:val="1"/>
    </w:lvlOverride>
  </w:num>
  <w:num w:numId="30">
    <w:abstractNumId w:val="19"/>
  </w:num>
  <w:num w:numId="31">
    <w:abstractNumId w:val="33"/>
    <w:lvlOverride w:ilvl="0">
      <w:startOverride w:val="1"/>
    </w:lvlOverride>
  </w:num>
  <w:num w:numId="32">
    <w:abstractNumId w:val="33"/>
    <w:lvlOverride w:ilvl="0">
      <w:startOverride w:val="1"/>
    </w:lvlOverride>
  </w:num>
  <w:num w:numId="33">
    <w:abstractNumId w:val="27"/>
  </w:num>
  <w:num w:numId="34">
    <w:abstractNumId w:val="29"/>
  </w:num>
  <w:num w:numId="35">
    <w:abstractNumId w:val="18"/>
  </w:num>
  <w:num w:numId="36">
    <w:abstractNumId w:val="13"/>
    <w:lvlOverride w:ilvl="0">
      <w:startOverride w:val="1"/>
    </w:lvlOverride>
  </w:num>
  <w:num w:numId="37">
    <w:abstractNumId w:val="44"/>
  </w:num>
  <w:num w:numId="38">
    <w:abstractNumId w:val="51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3"/>
    <w:lvlOverride w:ilvl="0">
      <w:startOverride w:val="1"/>
    </w:lvlOverride>
  </w:num>
  <w:num w:numId="42">
    <w:abstractNumId w:val="31"/>
  </w:num>
  <w:num w:numId="43">
    <w:abstractNumId w:val="41"/>
  </w:num>
  <w:num w:numId="44">
    <w:abstractNumId w:val="47"/>
  </w:num>
  <w:num w:numId="45">
    <w:abstractNumId w:val="46"/>
  </w:num>
  <w:num w:numId="46">
    <w:abstractNumId w:val="43"/>
  </w:num>
  <w:num w:numId="47">
    <w:abstractNumId w:val="26"/>
  </w:num>
  <w:num w:numId="48">
    <w:abstractNumId w:val="37"/>
  </w:num>
  <w:num w:numId="49">
    <w:abstractNumId w:val="20"/>
  </w:num>
  <w:num w:numId="50">
    <w:abstractNumId w:val="10"/>
  </w:num>
  <w:num w:numId="51">
    <w:abstractNumId w:val="23"/>
  </w:num>
  <w:num w:numId="52">
    <w:abstractNumId w:val="54"/>
  </w:num>
  <w:num w:numId="53">
    <w:abstractNumId w:val="28"/>
  </w:num>
  <w:num w:numId="54">
    <w:abstractNumId w:val="24"/>
  </w:num>
  <w:num w:numId="55">
    <w:abstractNumId w:val="48"/>
  </w:num>
  <w:num w:numId="56">
    <w:abstractNumId w:val="16"/>
  </w:num>
  <w:num w:numId="57">
    <w:abstractNumId w:val="21"/>
  </w:num>
  <w:num w:numId="58">
    <w:abstractNumId w:val="40"/>
  </w:num>
  <w:num w:numId="59">
    <w:abstractNumId w:val="49"/>
  </w:num>
  <w:num w:numId="60">
    <w:abstractNumId w:val="12"/>
  </w:num>
  <w:num w:numId="61">
    <w:abstractNumId w:val="14"/>
  </w:num>
  <w:num w:numId="62">
    <w:abstractNumId w:val="55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</w:num>
  <w:num w:numId="65">
    <w:abstractNumId w:val="45"/>
  </w:num>
  <w:num w:numId="66">
    <w:abstractNumId w:val="25"/>
  </w:num>
  <w:num w:numId="67">
    <w:abstractNumId w:val="17"/>
  </w:num>
  <w:num w:numId="68">
    <w:abstractNumId w:val="32"/>
  </w:num>
  <w:num w:numId="69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7E05"/>
    <w:rsid w:val="00090538"/>
    <w:rsid w:val="00091BEA"/>
    <w:rsid w:val="000925E4"/>
    <w:rsid w:val="00094836"/>
    <w:rsid w:val="000954EC"/>
    <w:rsid w:val="0009560E"/>
    <w:rsid w:val="000979E0"/>
    <w:rsid w:val="000A2673"/>
    <w:rsid w:val="000A282C"/>
    <w:rsid w:val="000A330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1AAB"/>
    <w:rsid w:val="00135A85"/>
    <w:rsid w:val="00136D61"/>
    <w:rsid w:val="0014149B"/>
    <w:rsid w:val="00143891"/>
    <w:rsid w:val="00143EA3"/>
    <w:rsid w:val="00144521"/>
    <w:rsid w:val="00144E8E"/>
    <w:rsid w:val="001455FD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3D0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3655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742"/>
    <w:rsid w:val="002B20FD"/>
    <w:rsid w:val="002B2BB1"/>
    <w:rsid w:val="002B2F31"/>
    <w:rsid w:val="002B2F6A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23A9"/>
    <w:rsid w:val="003A5B32"/>
    <w:rsid w:val="003A780F"/>
    <w:rsid w:val="003A7EB6"/>
    <w:rsid w:val="003B0B0D"/>
    <w:rsid w:val="003B19B4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2795B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662B"/>
    <w:rsid w:val="00597DE4"/>
    <w:rsid w:val="005A0056"/>
    <w:rsid w:val="005A0BED"/>
    <w:rsid w:val="005A0C5D"/>
    <w:rsid w:val="005A3BA8"/>
    <w:rsid w:val="005A3F6E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176B4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56EE5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5E1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0814"/>
    <w:rsid w:val="007E14DC"/>
    <w:rsid w:val="007E479F"/>
    <w:rsid w:val="007E4C63"/>
    <w:rsid w:val="007E5CA3"/>
    <w:rsid w:val="007E65CF"/>
    <w:rsid w:val="007E7555"/>
    <w:rsid w:val="007E7F65"/>
    <w:rsid w:val="007F2389"/>
    <w:rsid w:val="007F3CA6"/>
    <w:rsid w:val="007F52B9"/>
    <w:rsid w:val="00800FFE"/>
    <w:rsid w:val="00803A2A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1476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362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76F7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29D1"/>
    <w:rsid w:val="00B42C52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037E0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749E"/>
    <w:rsid w:val="00C577C8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83D1E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1A3E"/>
    <w:rsid w:val="00D32FF8"/>
    <w:rsid w:val="00D336DD"/>
    <w:rsid w:val="00D43998"/>
    <w:rsid w:val="00D43B31"/>
    <w:rsid w:val="00D4432F"/>
    <w:rsid w:val="00D45845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3FBD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A7086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C0A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F3E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F0FCE-A496-40E3-ADF5-B5A4C811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4628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2017-06-13T22:02:00Z</dcterms:created>
  <dcterms:modified xsi:type="dcterms:W3CDTF">2017-06-13T22:15:00Z</dcterms:modified>
</cp:coreProperties>
</file>